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F8" w:rsidRP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ASSOCIATION BETWEEN PLASMA BIG ENDOTHELIN-1 LEVELS AT</w:t>
      </w:r>
      <w:r w:rsidR="00D179B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ADMISSION AND LONG-TERM OUTCOMES IN PATIENTS WITH ATRIAL FIBRILLATION</w:t>
      </w:r>
    </w:p>
    <w:p w:rsid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S. Wu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,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Y.</w:t>
      </w:r>
      <w:r w:rsidR="0019692B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. Yang</w:t>
      </w:r>
    </w:p>
    <w:p w:rsidR="004B2BF8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National Center for Cardiovascular Diseases, </w:t>
      </w:r>
      <w:proofErr w:type="spellStart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Fuwai</w:t>
      </w:r>
      <w:proofErr w:type="spellEnd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Hospital, Beijing, China</w:t>
      </w:r>
    </w:p>
    <w:p w:rsidR="0019692B" w:rsidRPr="0019692B" w:rsidRDefault="0019692B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: Big endothelin-1 (ET-1) has been identified as a risk marker in a variety of cardiovascular diseases, while its prognostic role in atrial fibrillation (AF) is unclear.</w:t>
      </w:r>
    </w:p>
    <w:p w:rsid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: A total of 716 AF patients were enrolled and divided into high plasma levels of big ET-1 group and low plasma levels of big ET-1 group according to the optimal cut-off value of big ET-1 for predicting all-cause mortality. The primary outcomes were all-cause mortality and major adverse events (MAEs). Cox regression analysis was used to assess its prognostic value on outcomes.</w:t>
      </w:r>
    </w:p>
    <w:p w:rsid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With the optimal cut-off value of 0.55 </w:t>
      </w:r>
      <w:proofErr w:type="spellStart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pmol</w:t>
      </w:r>
      <w:proofErr w:type="spellEnd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/L, 326 (45.5%) patients were in high big ET-1 level group. Cardiac dysfunction and left atrial dilation were factors related to high big ET-1 levels. During a median follow-up of 3 years, patients with big ET-1 ≥ 0.55 </w:t>
      </w:r>
      <w:proofErr w:type="spellStart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pmol</w:t>
      </w:r>
      <w:proofErr w:type="spellEnd"/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/L had notably higher risk of all-cause mortality (44.8% vs. 11.5%, P &lt; 0.001), MAEs (51.8% vs. 17.4%, P &lt; 0.001), cardiovascular death, major bleeding, and tended to have higher thromboembolic risk. After adjusting for confounding factors, high big ET-1 level was an independent risk factor for all-cause death (hazard ratio (HR) 2.216, 95% confidence interval (CI) 1.545-3.179; P &lt; 0.001), MAEs (HR 2.047, 95% CI 1.503-2.788; P &lt; 0.001), and cardiovascular death (HR 2.050, 95% CI 1.319-3.186; P = 0.001).</w:t>
      </w:r>
    </w:p>
    <w:p w:rsidR="004B2BF8" w:rsidRPr="0019692B" w:rsidRDefault="004B2BF8" w:rsidP="0019692B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</w:t>
      </w:r>
      <w:r w:rsidRPr="0019692B">
        <w:rPr>
          <w:rFonts w:asciiTheme="majorBidi" w:eastAsia="Times New Roman" w:hAnsiTheme="majorBidi" w:cstheme="majorBidi"/>
          <w:color w:val="000000"/>
          <w:sz w:val="24"/>
          <w:szCs w:val="24"/>
        </w:rPr>
        <w:t>: Elevated big ET-1 level is an independent predictor of long-term all-cause mortality, MAEs, and cardiovascular death in patients with AF.</w:t>
      </w:r>
      <w:hyperlink r:id="rId6" w:tgtFrame="_blank" w:history="1"/>
    </w:p>
    <w:p w:rsidR="00345DBB" w:rsidRPr="0019692B" w:rsidRDefault="0019692B" w:rsidP="00D74F2D">
      <w:pPr>
        <w:rPr>
          <w:rFonts w:asciiTheme="majorBidi" w:hAnsiTheme="majorBidi" w:cstheme="majorBidi"/>
          <w:sz w:val="24"/>
          <w:szCs w:val="24"/>
        </w:rPr>
      </w:pPr>
      <w:r w:rsidRPr="0019692B">
        <w:rPr>
          <w:rFonts w:asciiTheme="majorBidi" w:eastAsia="Times New Roman" w:hAnsiTheme="majorBidi" w:cstheme="majorBid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5F62F6">
            <wp:simplePos x="0" y="0"/>
            <wp:positionH relativeFrom="margin">
              <wp:align>left</wp:align>
            </wp:positionH>
            <wp:positionV relativeFrom="paragraph">
              <wp:posOffset>158456</wp:posOffset>
            </wp:positionV>
            <wp:extent cx="2653200" cy="3456000"/>
            <wp:effectExtent l="0" t="0" r="0" b="0"/>
            <wp:wrapTight wrapText="bothSides">
              <wp:wrapPolygon edited="0">
                <wp:start x="0" y="0"/>
                <wp:lineTo x="0" y="21433"/>
                <wp:lineTo x="21404" y="21433"/>
                <wp:lineTo x="21404" y="0"/>
                <wp:lineTo x="0" y="0"/>
              </wp:wrapPolygon>
            </wp:wrapTight>
            <wp:docPr id="53" name="Picture 53" descr="https://files.abstractsonline.com/CTRL/D3/4/6BE/001/9BB/4C1/BB1/BF1/58C/349/0B7/A6/g522_1.tif?noCache=2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iles.abstractsonline.com/CTRL/D3/4/6BE/001/9BB/4C1/BB1/BF1/58C/349/0B7/A6/g522_1.tif?noCache=2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DBB" w:rsidRPr="001969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52" w:rsidRDefault="00810752" w:rsidP="0019692B">
      <w:r>
        <w:separator/>
      </w:r>
    </w:p>
  </w:endnote>
  <w:endnote w:type="continuationSeparator" w:id="0">
    <w:p w:rsidR="00810752" w:rsidRDefault="00810752" w:rsidP="0019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52" w:rsidRDefault="00810752" w:rsidP="0019692B">
      <w:r>
        <w:separator/>
      </w:r>
    </w:p>
  </w:footnote>
  <w:footnote w:type="continuationSeparator" w:id="0">
    <w:p w:rsidR="00810752" w:rsidRDefault="00810752" w:rsidP="0019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2B" w:rsidRPr="0019692B" w:rsidRDefault="0019692B" w:rsidP="0019692B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19692B">
      <w:rPr>
        <w:rFonts w:asciiTheme="majorBidi" w:eastAsia="Times New Roman" w:hAnsiTheme="majorBidi" w:cstheme="majorBidi"/>
        <w:color w:val="000000"/>
        <w:sz w:val="24"/>
        <w:szCs w:val="24"/>
      </w:rPr>
      <w:t>18-A-522-IAC</w:t>
    </w:r>
  </w:p>
  <w:p w:rsidR="0019692B" w:rsidRPr="0019692B" w:rsidRDefault="0019692B" w:rsidP="0019692B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19692B">
      <w:rPr>
        <w:rFonts w:asciiTheme="majorBidi" w:eastAsia="Times New Roman" w:hAnsiTheme="majorBidi" w:cstheme="majorBidi"/>
        <w:color w:val="000000"/>
        <w:sz w:val="24"/>
        <w:szCs w:val="24"/>
      </w:rPr>
      <w:t>09. Emerging Biomarkers in Cardiovascular Diseases</w:t>
    </w:r>
  </w:p>
  <w:p w:rsidR="0019692B" w:rsidRDefault="0019692B">
    <w:pPr>
      <w:pStyle w:val="Header"/>
    </w:pPr>
  </w:p>
  <w:p w:rsidR="0019692B" w:rsidRDefault="0019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8"/>
    <w:rsid w:val="0019692B"/>
    <w:rsid w:val="0030401F"/>
    <w:rsid w:val="004B2BF8"/>
    <w:rsid w:val="00706F1B"/>
    <w:rsid w:val="00810752"/>
    <w:rsid w:val="008A10D5"/>
    <w:rsid w:val="00A128E1"/>
    <w:rsid w:val="00D179BA"/>
    <w:rsid w:val="00D74F2D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BF7C"/>
  <w15:chartTrackingRefBased/>
  <w15:docId w15:val="{1BAE5FA7-FD56-4858-93CB-E2C84474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2B"/>
  </w:style>
  <w:style w:type="paragraph" w:styleId="Footer">
    <w:name w:val="footer"/>
    <w:basedOn w:val="Normal"/>
    <w:link w:val="FooterChar"/>
    <w:uiPriority w:val="99"/>
    <w:unhideWhenUsed/>
    <w:rsid w:val="0019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D3/4/6BE/001/9BB/4C1/BB1/BF1/58C/349/0B7/A6/g522_1.t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2018-05-28T20:25:00Z</dcterms:created>
  <dcterms:modified xsi:type="dcterms:W3CDTF">2018-05-31T16:39:00Z</dcterms:modified>
</cp:coreProperties>
</file>